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CD" w:rsidRPr="00FC01CD" w:rsidRDefault="00FC01CD" w:rsidP="00FC01CD">
      <w:pPr>
        <w:spacing w:after="0" w:line="480" w:lineRule="atLeast"/>
        <w:rPr>
          <w:rFonts w:ascii="hh sans" w:eastAsia="Times New Roman" w:hAnsi="hh sans" w:cs="Times New Roman"/>
          <w:color w:val="000000"/>
          <w:spacing w:val="-2"/>
          <w:sz w:val="33"/>
          <w:szCs w:val="33"/>
          <w:lang w:eastAsia="ru-RU"/>
        </w:rPr>
      </w:pPr>
      <w:bookmarkStart w:id="0" w:name="_GoBack"/>
      <w:r w:rsidRPr="00FC01CD"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Главный специалист отдела физической культуры и спорта</w:t>
      </w:r>
    </w:p>
    <w:bookmarkEnd w:id="0"/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Разработка и реализация программ и мероприятий по развитию физической культуры и спорта;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Методическое сопровождение деятельности спортивных учреждений и организаций;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Координация работы спортивных федераций и клубов;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Формирование планов спортивно-массовых мероприятий;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Контроль исполнения муниципальных программ в сфере </w:t>
      </w:r>
      <w:proofErr w:type="spellStart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ФКиС</w:t>
      </w:r>
      <w:proofErr w:type="spellEnd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Мониторинг показателей развития физической культуры и спорта;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Взаимодействие с СШ, СШОР и другими спортивными объектами;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деятельностью подведомственных спортивных учреждений;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Анализ отчетности от спортивных организаций;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Организация спортивных соревнований и физкультурных мероприятий;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Подготовка и проведение спортивных праздников и акций;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Координация судейских бригад на мероприятиях;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Участие в аттестации тренерско-преподавательского состава;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Подготовка документации для участия в </w:t>
      </w:r>
      <w:proofErr w:type="spellStart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грантовых</w:t>
      </w:r>
      <w:proofErr w:type="spellEnd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программах;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Координация работы с образовательными учреждениями;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Взаимодействие с общественными спортивными организациями;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Работа со СМИ по популяризации </w:t>
      </w:r>
      <w:proofErr w:type="spellStart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ФКиС</w:t>
      </w:r>
      <w:proofErr w:type="spellEnd"/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Подготовка отчетов и аналитических материалов;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Проведение мониторинга состояния материально-технической базы;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Анализ эффективности проводимых мероприятий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Высшее образование по профилю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Полный рабочий день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г</w:t>
      </w: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рафик: 5/2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Рабочее время: c 08:00 по 17:00</w:t>
      </w:r>
    </w:p>
    <w:p w:rsid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</w:pPr>
      <w:r w:rsidRPr="00FC01CD">
        <w:rPr>
          <w:rFonts w:ascii="hh sans" w:eastAsia="Times New Roman" w:hAnsi="hh sans" w:cs="Times New Roman"/>
          <w:b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Заработная плата:</w:t>
      </w:r>
      <w:r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b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53 654 ₽</w:t>
      </w:r>
      <w:r w:rsidRPr="00FC01CD">
        <w:rPr>
          <w:rFonts w:ascii="hh sans" w:eastAsia="Times New Roman" w:hAnsi="hh sans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 за месяц, до вычета налогов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Выплаты: два раза в месяц</w:t>
      </w:r>
    </w:p>
    <w:p w:rsidR="00FC01CD" w:rsidRPr="00FC01CD" w:rsidRDefault="00FC01CD" w:rsidP="00FC01CD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01CD">
        <w:rPr>
          <w:rFonts w:ascii="hh sans" w:eastAsia="Times New Roman" w:hAnsi="hh sans" w:cs="Times New Roman"/>
          <w:b/>
          <w:color w:val="000000"/>
          <w:spacing w:val="1"/>
          <w:sz w:val="24"/>
          <w:szCs w:val="24"/>
          <w:lang w:eastAsia="ru-RU"/>
        </w:rPr>
        <w:t>Опыт работы</w:t>
      </w: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: </w:t>
      </w:r>
      <w:r w:rsidRPr="00FC01CD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1–3 года</w:t>
      </w:r>
    </w:p>
    <w:p w:rsidR="00566B39" w:rsidRPr="00FC01CD" w:rsidRDefault="00566B39" w:rsidP="00FC01CD"/>
    <w:sectPr w:rsidR="00566B39" w:rsidRPr="00FC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CD"/>
    <w:rsid w:val="00046305"/>
    <w:rsid w:val="00566B39"/>
    <w:rsid w:val="0092528B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76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5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4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1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4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1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0762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УСМ ГО Верхняя Пышма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А.А.</dc:creator>
  <cp:lastModifiedBy>Сарычева А.А.</cp:lastModifiedBy>
  <cp:revision>1</cp:revision>
  <dcterms:created xsi:type="dcterms:W3CDTF">2025-08-22T05:16:00Z</dcterms:created>
  <dcterms:modified xsi:type="dcterms:W3CDTF">2025-08-22T05:25:00Z</dcterms:modified>
</cp:coreProperties>
</file>